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CC04" w14:textId="680E635F" w:rsidR="00B26699" w:rsidRDefault="00F0468D" w:rsidP="00B26699">
      <w:pPr>
        <w:jc w:val="center"/>
        <w:rPr>
          <w:rFonts w:ascii="Georgia" w:eastAsia="Times New Roman" w:hAnsi="Georgia"/>
          <w:b/>
          <w:color w:val="222222"/>
          <w:sz w:val="44"/>
          <w:szCs w:val="44"/>
          <w:shd w:val="clear" w:color="auto" w:fill="FFFFFF"/>
        </w:rPr>
      </w:pPr>
      <w:r>
        <w:rPr>
          <w:rFonts w:ascii="Georgia" w:eastAsia="Times New Roman" w:hAnsi="Georgia"/>
          <w:b/>
          <w:color w:val="222222"/>
          <w:sz w:val="44"/>
          <w:szCs w:val="44"/>
          <w:shd w:val="clear" w:color="auto" w:fill="FFFFFF"/>
        </w:rPr>
        <w:t>Reverse Diabetes, Dementia, and Chronic I</w:t>
      </w:r>
      <w:r w:rsidRPr="00F0468D">
        <w:rPr>
          <w:rFonts w:ascii="Georgia" w:eastAsia="Times New Roman" w:hAnsi="Georgia"/>
          <w:b/>
          <w:color w:val="222222"/>
          <w:sz w:val="44"/>
          <w:szCs w:val="44"/>
          <w:shd w:val="clear" w:color="auto" w:fill="FFFFFF"/>
        </w:rPr>
        <w:t>llness</w:t>
      </w:r>
    </w:p>
    <w:p w14:paraId="0BF69E48" w14:textId="492D27E5" w:rsidR="00B26699" w:rsidRDefault="00B26699" w:rsidP="00F0468D">
      <w:pPr>
        <w:jc w:val="center"/>
        <w:rPr>
          <w:rFonts w:ascii="Georgia" w:eastAsia="Times New Roman" w:hAnsi="Georgia"/>
          <w:b/>
          <w:color w:val="222222"/>
          <w:sz w:val="44"/>
          <w:szCs w:val="44"/>
          <w:shd w:val="clear" w:color="auto" w:fill="FFFFFF"/>
        </w:rPr>
      </w:pPr>
      <w:r>
        <w:rPr>
          <w:rFonts w:ascii="Georgia" w:eastAsia="Times New Roman" w:hAnsi="Georgia"/>
          <w:b/>
          <w:noProof/>
          <w:color w:val="222222"/>
          <w:sz w:val="44"/>
          <w:szCs w:val="44"/>
          <w:shd w:val="clear" w:color="auto" w:fill="FFFFFF"/>
        </w:rPr>
        <w:drawing>
          <wp:inline distT="0" distB="0" distL="0" distR="0" wp14:anchorId="6460489E" wp14:editId="01B7F6BB">
            <wp:extent cx="5852160" cy="3669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list-3222079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136D" w14:textId="77777777" w:rsidR="00F0468D" w:rsidRPr="00F0468D" w:rsidRDefault="00F0468D" w:rsidP="00F0468D">
      <w:pPr>
        <w:rPr>
          <w:rFonts w:ascii="Georgia" w:eastAsia="Times New Roman" w:hAnsi="Georgia"/>
        </w:rPr>
      </w:pPr>
    </w:p>
    <w:p w14:paraId="43E6D03E" w14:textId="0745F57C" w:rsidR="00384455" w:rsidRDefault="000A0303" w:rsidP="000A0303">
      <w:pP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The </w:t>
      </w:r>
      <w:r w:rsidRPr="00046DFB">
        <w:rPr>
          <w:rStyle w:val="Emphasis"/>
          <w:rFonts w:ascii="Georgia" w:eastAsia="Times New Roman" w:hAnsi="Georgia" w:cs="Arial"/>
          <w:color w:val="000000"/>
          <w:bdr w:val="none" w:sz="0" w:space="0" w:color="auto" w:frame="1"/>
          <w:shd w:val="clear" w:color="auto" w:fill="FFFFFF"/>
        </w:rPr>
        <w:t>National Institutes of Health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considers </w:t>
      </w:r>
      <w:r w:rsidRPr="00FD14AF">
        <w:rPr>
          <w:rStyle w:val="Emphasis"/>
          <w:rFonts w:ascii="Georgia" w:eastAsia="Times New Roman" w:hAnsi="Georgia" w:cs="Arial"/>
          <w:b/>
          <w:i w:val="0"/>
          <w:color w:val="000000"/>
          <w:bdr w:val="none" w:sz="0" w:space="0" w:color="auto" w:frame="1"/>
          <w:shd w:val="clear" w:color="auto" w:fill="FFFFFF"/>
        </w:rPr>
        <w:t>l</w:t>
      </w:r>
      <w:r w:rsidR="00237477" w:rsidRPr="00FD14AF">
        <w:rPr>
          <w:rStyle w:val="Emphasis"/>
          <w:rFonts w:ascii="Georgia" w:eastAsia="Times New Roman" w:hAnsi="Georgia" w:cs="Arial"/>
          <w:b/>
          <w:i w:val="0"/>
          <w:color w:val="000000"/>
          <w:bdr w:val="none" w:sz="0" w:space="0" w:color="auto" w:frame="1"/>
          <w:shd w:val="clear" w:color="auto" w:fill="FFFFFF"/>
        </w:rPr>
        <w:t>ifestyle intervention</w:t>
      </w:r>
      <w:r w:rsidRPr="00FD14AF">
        <w:rPr>
          <w:rStyle w:val="Emphasis"/>
          <w:rFonts w:ascii="Georgia" w:eastAsia="Times New Roman" w:hAnsi="Georgia" w:cs="Arial"/>
          <w:b/>
          <w:i w:val="0"/>
          <w:color w:val="000000"/>
          <w:bdr w:val="none" w:sz="0" w:space="0" w:color="auto" w:frame="1"/>
          <w:shd w:val="clear" w:color="auto" w:fill="FFFFFF"/>
        </w:rPr>
        <w:t>/p</w:t>
      </w:r>
      <w:r w:rsidR="00FD14AF" w:rsidRPr="00FD14AF">
        <w:rPr>
          <w:rStyle w:val="Emphasis"/>
          <w:rFonts w:ascii="Georgia" w:eastAsia="Times New Roman" w:hAnsi="Georgia" w:cs="Arial"/>
          <w:b/>
          <w:i w:val="0"/>
          <w:color w:val="000000"/>
          <w:bdr w:val="none" w:sz="0" w:space="0" w:color="auto" w:frame="1"/>
          <w:shd w:val="clear" w:color="auto" w:fill="FFFFFF"/>
        </w:rPr>
        <w:t>ersonalized care</w:t>
      </w:r>
      <w:r w:rsidR="00FD14AF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the frontline 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for treating many chronic illnesses. In this model, physicians </w:t>
      </w:r>
      <w:r w:rsidR="00DA042C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work closely with the patient and 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coordinate </w:t>
      </w:r>
      <w:r w:rsidR="006642C1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specialists and 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experts (such as nutrition</w:t>
      </w:r>
      <w:r w:rsidR="00DA042C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ists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)</w:t>
      </w:r>
      <w:r w:rsidR="00384455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to match the individual with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a</w:t>
      </w:r>
      <w:r w:rsidR="00384455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unique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treatment protocol</w:t>
      </w:r>
      <w:r w:rsidR="00DA042C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. Patients become</w:t>
      </w:r>
      <w:r w:rsidR="00363F53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partners in their own care </w:t>
      </w:r>
      <w:r w:rsidR="00384455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rather than passive recipients</w:t>
      </w:r>
      <w:r w:rsidR="00363F53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[1]</w:t>
      </w:r>
      <w:r w:rsidR="00384455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2394C1F8" w14:textId="77777777" w:rsidR="00384455" w:rsidRDefault="00384455" w:rsidP="000A0303">
      <w:pP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</w:pPr>
    </w:p>
    <w:p w14:paraId="0523C3E9" w14:textId="14564757" w:rsidR="000A0303" w:rsidRDefault="00384455" w:rsidP="000A0303">
      <w:pPr>
        <w:rPr>
          <w:rFonts w:eastAsia="Times New Roman"/>
        </w:rPr>
      </w:pP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While </w:t>
      </w:r>
      <w:r w:rsidR="00363F53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conventional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medicine adds prescriptions to manage symptoms, personalized care acts on the </w:t>
      </w:r>
      <w:r w:rsidR="00363F53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root causes</w:t>
      </w:r>
      <w: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and can actually reverse illness. </w:t>
      </w:r>
    </w:p>
    <w:p w14:paraId="08C62667" w14:textId="77777777" w:rsidR="0014743D" w:rsidRDefault="0014743D" w:rsidP="00DB4B51">
      <w:pPr>
        <w:rPr>
          <w:rStyle w:val="Emphasis"/>
          <w:rFonts w:ascii="Georgia" w:eastAsia="Times New Roman" w:hAnsi="Georgia" w:cs="Arial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C204544" w14:textId="18FD6BE3" w:rsidR="0020680B" w:rsidRDefault="0020680B" w:rsidP="00DB4B51">
      <w:pPr>
        <w:rPr>
          <w:rStyle w:val="Emphasis"/>
          <w:rFonts w:ascii="Georgia" w:eastAsia="Times New Roman" w:hAnsi="Georgia" w:cs="Arial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680B">
        <w:rPr>
          <w:rStyle w:val="Emphasis"/>
          <w:rFonts w:ascii="Georgia" w:eastAsia="Times New Roman" w:hAnsi="Georgia" w:cs="Arial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Reversing Diabetes</w:t>
      </w:r>
    </w:p>
    <w:p w14:paraId="0C07D925" w14:textId="5174B66B" w:rsidR="00ED7389" w:rsidRDefault="00ED7389" w:rsidP="00DB4B51">
      <w:pPr>
        <w:rPr>
          <w:rStyle w:val="Emphasis"/>
          <w:rFonts w:ascii="Georgia" w:eastAsia="Times New Roman" w:hAnsi="Georgia" w:cs="Arial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BD2DF7D" w14:textId="45FF10C6" w:rsidR="00ED7389" w:rsidRDefault="00ED7389" w:rsidP="00ED7389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In the United States, over 80 million adults suffer pre-diabetes. Although the condition can be reversed through diet and exercise, 70% of these pre-diabetics will develop full-blown type 2 diabetes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 [2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]. Most do not have the 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expertise, </w:t>
      </w:r>
      <w:r>
        <w:rPr>
          <w:rFonts w:ascii="Georgia" w:eastAsia="Times New Roman" w:hAnsi="Georgia" w:cs="Arial"/>
          <w:color w:val="000000"/>
          <w:shd w:val="clear" w:color="auto" w:fill="FFFFFF"/>
        </w:rPr>
        <w:t>experience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>, or even motivation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to actively monitor and reverse </w:t>
      </w:r>
      <w:r w:rsidR="00F66AE6">
        <w:rPr>
          <w:rFonts w:ascii="Georgia" w:eastAsia="Times New Roman" w:hAnsi="Georgia" w:cs="Arial"/>
          <w:color w:val="000000"/>
          <w:shd w:val="clear" w:color="auto" w:fill="FFFFFF"/>
        </w:rPr>
        <w:t>illness</w:t>
      </w:r>
      <w:r>
        <w:rPr>
          <w:rFonts w:ascii="Georgia" w:eastAsia="Times New Roman" w:hAnsi="Georgia" w:cs="Arial"/>
          <w:color w:val="000000"/>
          <w:shd w:val="clear" w:color="auto" w:fill="FFFFFF"/>
        </w:rPr>
        <w:t>. There are many variables to consider; even vitamin D</w:t>
      </w:r>
      <w:r w:rsidRPr="001E4893">
        <w:rPr>
          <w:rFonts w:ascii="Georgia" w:eastAsia="Times New Roman" w:hAnsi="Georgia" w:cs="Arial"/>
          <w:color w:val="000000"/>
          <w:shd w:val="clear" w:color="auto" w:fill="FFFFFF"/>
          <w:vertAlign w:val="subscript"/>
        </w:rPr>
        <w:t>3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has been correlated to pre-diabetic and diabetic outcomes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 [3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]. </w:t>
      </w:r>
    </w:p>
    <w:p w14:paraId="2EC47FDD" w14:textId="7DBCCCD4" w:rsidR="00397EF1" w:rsidRDefault="00397EF1" w:rsidP="00ED7389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4369FA9B" w14:textId="71977AE3" w:rsidR="00397EF1" w:rsidRDefault="00397EF1" w:rsidP="00ED7389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D0E2EDF" w14:textId="026BB373" w:rsidR="0020680B" w:rsidRDefault="0020680B" w:rsidP="00DB4B51">
      <w:pPr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</w:pPr>
    </w:p>
    <w:p w14:paraId="0A597DC6" w14:textId="411C975B" w:rsidR="00DB4B51" w:rsidRDefault="00397EF1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noProof/>
          <w:color w:val="000000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20B5A46A" wp14:editId="45382ED5">
            <wp:simplePos x="0" y="0"/>
            <wp:positionH relativeFrom="column">
              <wp:posOffset>2840355</wp:posOffset>
            </wp:positionH>
            <wp:positionV relativeFrom="paragraph">
              <wp:posOffset>642620</wp:posOffset>
            </wp:positionV>
            <wp:extent cx="2861310" cy="170434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beat-163709_12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BD3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W</w:t>
      </w:r>
      <w:r w:rsidR="0078041C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e </w:t>
      </w:r>
      <w:r w:rsidR="0078041C" w:rsidRPr="00E03BD3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do</w:t>
      </w:r>
      <w:r w:rsidR="0078041C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 possess the power to reverse diabetes. </w:t>
      </w:r>
      <w:r w:rsidR="0019517F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 xml:space="preserve">A 2016 study in the </w:t>
      </w:r>
      <w:r w:rsidR="0019517F" w:rsidRPr="0019517F">
        <w:rPr>
          <w:rStyle w:val="Emphasis"/>
          <w:rFonts w:ascii="Georgia" w:eastAsia="Times New Roman" w:hAnsi="Georgia" w:cs="Arial"/>
          <w:color w:val="000000"/>
          <w:bdr w:val="none" w:sz="0" w:space="0" w:color="auto" w:frame="1"/>
          <w:shd w:val="clear" w:color="auto" w:fill="FFFFFF"/>
        </w:rPr>
        <w:t>Journal of Diabetes Research and Therapy</w:t>
      </w:r>
      <w:r w:rsidR="0019517F">
        <w:rPr>
          <w:rStyle w:val="Emphasis"/>
          <w:rFonts w:ascii="Georgia" w:eastAsia="Times New Roman" w:hAnsi="Georgia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19517F">
        <w:rPr>
          <w:rStyle w:val="Emphasis"/>
          <w:rFonts w:ascii="Georgia" w:eastAsia="Times New Roman" w:hAnsi="Georgia" w:cs="Arial"/>
          <w:i w:val="0"/>
          <w:color w:val="000000"/>
          <w:bdr w:val="none" w:sz="0" w:space="0" w:color="auto" w:frame="1"/>
          <w:shd w:val="clear" w:color="auto" w:fill="FFFFFF"/>
        </w:rPr>
        <w:t>reports that</w:t>
      </w:r>
      <w:r w:rsidR="0019517F">
        <w:rPr>
          <w:rFonts w:ascii="Georgia" w:eastAsia="Times New Roman" w:hAnsi="Georgia"/>
        </w:rPr>
        <w:t xml:space="preserve"> d</w:t>
      </w:r>
      <w:r w:rsidR="00F0468D">
        <w:rPr>
          <w:rFonts w:ascii="Georgia" w:eastAsia="Times New Roman" w:hAnsi="Georgia" w:cs="Arial"/>
          <w:color w:val="000000"/>
          <w:shd w:val="clear" w:color="auto" w:fill="FFFFFF"/>
        </w:rPr>
        <w:t xml:space="preserve">iet, exercise, drugs, and lifestyle factors </w:t>
      </w:r>
      <w:r w:rsidR="0019517F">
        <w:rPr>
          <w:rFonts w:ascii="Georgia" w:eastAsia="Times New Roman" w:hAnsi="Georgia" w:cs="Arial"/>
          <w:color w:val="000000"/>
          <w:shd w:val="clear" w:color="auto" w:fill="FFFFFF"/>
        </w:rPr>
        <w:t>can effectively regulate and reverse type 3 diabetes and the accelerated aging associated with chronic illness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 [4</w:t>
      </w:r>
      <w:r w:rsidR="0019517F">
        <w:rPr>
          <w:rFonts w:ascii="Georgia" w:eastAsia="Times New Roman" w:hAnsi="Georgia" w:cs="Arial"/>
          <w:color w:val="000000"/>
          <w:shd w:val="clear" w:color="auto" w:fill="FFFFFF"/>
        </w:rPr>
        <w:t xml:space="preserve">]. </w:t>
      </w:r>
      <w:r w:rsidR="00A4650F">
        <w:rPr>
          <w:rFonts w:ascii="Georgia" w:eastAsia="Times New Roman" w:hAnsi="Georgia" w:cs="Arial"/>
          <w:color w:val="000000"/>
          <w:shd w:val="clear" w:color="auto" w:fill="FFFFFF"/>
        </w:rPr>
        <w:t>The metabolic abnormalities of</w:t>
      </w:r>
      <w:r w:rsidR="00084DE6">
        <w:rPr>
          <w:rFonts w:ascii="Georgia" w:eastAsia="Times New Roman" w:hAnsi="Georgia" w:cs="Arial"/>
          <w:color w:val="000000"/>
          <w:shd w:val="clear" w:color="auto" w:fill="FFFFFF"/>
        </w:rPr>
        <w:t xml:space="preserve"> muscle insulin resistance in</w:t>
      </w:r>
      <w:r w:rsidR="00DB4B51">
        <w:rPr>
          <w:rFonts w:ascii="Georgia" w:eastAsia="Times New Roman" w:hAnsi="Georgia" w:cs="Arial"/>
          <w:color w:val="000000"/>
          <w:shd w:val="clear" w:color="auto" w:fill="FFFFFF"/>
        </w:rPr>
        <w:t xml:space="preserve"> type 2 diabetes can </w:t>
      </w:r>
      <w:r w:rsidR="00A4650F">
        <w:rPr>
          <w:rFonts w:ascii="Georgia" w:eastAsia="Times New Roman" w:hAnsi="Georgia" w:cs="Arial"/>
          <w:color w:val="000000"/>
          <w:shd w:val="clear" w:color="auto" w:fill="FFFFFF"/>
        </w:rPr>
        <w:t xml:space="preserve">be </w:t>
      </w:r>
      <w:r w:rsidR="00F66AE6">
        <w:rPr>
          <w:rFonts w:ascii="Georgia" w:eastAsia="Times New Roman" w:hAnsi="Georgia" w:cs="Arial"/>
          <w:color w:val="000000"/>
          <w:shd w:val="clear" w:color="auto" w:fill="FFFFFF"/>
        </w:rPr>
        <w:t>normalized</w:t>
      </w:r>
      <w:r w:rsidR="00A4650F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>through energy restriction [5</w:t>
      </w:r>
      <w:r w:rsidR="00084DE6">
        <w:rPr>
          <w:rFonts w:ascii="Georgia" w:eastAsia="Times New Roman" w:hAnsi="Georgia" w:cs="Arial"/>
          <w:color w:val="000000"/>
          <w:shd w:val="clear" w:color="auto" w:fill="FFFFFF"/>
        </w:rPr>
        <w:t xml:space="preserve">]. </w:t>
      </w:r>
      <w:r w:rsidR="00BA59D4">
        <w:rPr>
          <w:rFonts w:ascii="Georgia" w:eastAsia="Times New Roman" w:hAnsi="Georgia"/>
        </w:rPr>
        <w:t>Unfortunately,</w:t>
      </w:r>
      <w:r w:rsidR="00DB4B51">
        <w:rPr>
          <w:rFonts w:ascii="Georgia" w:eastAsia="Times New Roman" w:hAnsi="Georgia"/>
        </w:rPr>
        <w:t xml:space="preserve"> </w:t>
      </w:r>
      <w:r w:rsidR="00DB4B51">
        <w:rPr>
          <w:rFonts w:ascii="Georgia" w:eastAsia="Times New Roman" w:hAnsi="Georgia" w:cs="Arial"/>
          <w:color w:val="000000"/>
          <w:shd w:val="clear" w:color="auto" w:fill="FFFFFF"/>
        </w:rPr>
        <w:t>l</w:t>
      </w:r>
      <w:r w:rsidR="009817F4">
        <w:rPr>
          <w:rFonts w:ascii="Georgia" w:eastAsia="Times New Roman" w:hAnsi="Georgia" w:cs="Arial"/>
          <w:color w:val="000000"/>
          <w:shd w:val="clear" w:color="auto" w:fill="FFFFFF"/>
        </w:rPr>
        <w:t xml:space="preserve">ifestyle changes and routines are not easy to integrate. </w:t>
      </w:r>
    </w:p>
    <w:p w14:paraId="3954E1E0" w14:textId="7C6327C3" w:rsidR="00DB4B51" w:rsidRDefault="00DB4B51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E8C6D54" w14:textId="3343444B" w:rsidR="00363E4D" w:rsidRDefault="00363E4D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  <w:r w:rsidRPr="009817F4">
        <w:rPr>
          <w:rFonts w:ascii="Georgia" w:eastAsia="Times New Roman" w:hAnsi="Georgia" w:cs="Arial"/>
          <w:color w:val="000000"/>
          <w:shd w:val="clear" w:color="auto" w:fill="FFFFFF"/>
        </w:rPr>
        <w:t>Medication non-adherence in type 2 diabetes may be as high as 65%</w:t>
      </w:r>
      <w:r w:rsidR="0078041C">
        <w:rPr>
          <w:rFonts w:ascii="Georgia" w:eastAsia="Times New Roman" w:hAnsi="Georgia" w:cs="Arial"/>
          <w:color w:val="000000"/>
          <w:shd w:val="clear" w:color="auto" w:fill="FFFFFF"/>
        </w:rPr>
        <w:t xml:space="preserve"> in the first year of treatment – in other words, patients have a very difficult time managing their own treatment.</w:t>
      </w:r>
      <w:r w:rsidRPr="009817F4">
        <w:rPr>
          <w:rFonts w:ascii="Georgia" w:eastAsia="Times New Roman" w:hAnsi="Georgia" w:cs="Arial"/>
          <w:color w:val="000000"/>
          <w:shd w:val="clear" w:color="auto" w:fill="FFFFFF"/>
        </w:rPr>
        <w:t xml:space="preserve"> This </w:t>
      </w:r>
      <w:r w:rsidR="00E03BD3">
        <w:rPr>
          <w:rFonts w:ascii="Georgia" w:eastAsia="Times New Roman" w:hAnsi="Georgia" w:cs="Arial"/>
          <w:color w:val="000000"/>
          <w:shd w:val="clear" w:color="auto" w:fill="FFFFFF"/>
        </w:rPr>
        <w:t>impairs</w:t>
      </w:r>
      <w:r w:rsidR="009817F4" w:rsidRPr="009817F4">
        <w:rPr>
          <w:rFonts w:ascii="Georgia" w:eastAsia="Times New Roman" w:hAnsi="Georgia" w:cs="Arial"/>
          <w:color w:val="000000"/>
          <w:shd w:val="clear" w:color="auto" w:fill="FFFFFF"/>
        </w:rPr>
        <w:t xml:space="preserve"> optimal glycemic control and illness outcomes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 [6</w:t>
      </w:r>
      <w:r w:rsidR="009817F4">
        <w:rPr>
          <w:rFonts w:ascii="Georgia" w:eastAsia="Times New Roman" w:hAnsi="Georgia" w:cs="Arial"/>
          <w:color w:val="000000"/>
          <w:shd w:val="clear" w:color="auto" w:fill="FFFFFF"/>
        </w:rPr>
        <w:t>]</w:t>
      </w:r>
      <w:r w:rsidR="009817F4" w:rsidRPr="009817F4">
        <w:rPr>
          <w:rFonts w:ascii="Georgia" w:eastAsia="Times New Roman" w:hAnsi="Georgia" w:cs="Arial"/>
          <w:color w:val="000000"/>
          <w:shd w:val="clear" w:color="auto" w:fill="FFFFFF"/>
        </w:rPr>
        <w:t xml:space="preserve">. </w:t>
      </w:r>
      <w:r w:rsidR="009817F4">
        <w:rPr>
          <w:rFonts w:ascii="Georgia" w:eastAsia="Times New Roman" w:hAnsi="Georgia" w:cs="Arial"/>
          <w:color w:val="000000"/>
          <w:shd w:val="clear" w:color="auto" w:fill="FFFFFF"/>
        </w:rPr>
        <w:t xml:space="preserve">The use of a digital device to help patients manage diabetes has been seen to </w:t>
      </w:r>
      <w:r w:rsidR="004D56E5">
        <w:rPr>
          <w:rFonts w:ascii="Georgia" w:eastAsia="Times New Roman" w:hAnsi="Georgia" w:cs="Arial"/>
          <w:color w:val="000000"/>
          <w:shd w:val="clear" w:color="auto" w:fill="FFFFFF"/>
        </w:rPr>
        <w:t>reduce</w:t>
      </w:r>
      <w:r w:rsidR="009817F4">
        <w:rPr>
          <w:rFonts w:ascii="Georgia" w:eastAsia="Times New Roman" w:hAnsi="Georgia" w:cs="Arial"/>
          <w:color w:val="000000"/>
          <w:shd w:val="clear" w:color="auto" w:fill="FFFFFF"/>
        </w:rPr>
        <w:t xml:space="preserve"> hemoglobin </w:t>
      </w:r>
      <w:r w:rsidR="004A267E">
        <w:rPr>
          <w:rFonts w:ascii="Georgia" w:eastAsia="Times New Roman" w:hAnsi="Georgia" w:cs="Arial"/>
          <w:color w:val="000000"/>
          <w:shd w:val="clear" w:color="auto" w:fill="FFFFFF"/>
        </w:rPr>
        <w:t>A</w:t>
      </w:r>
      <w:r w:rsidR="004A267E" w:rsidRPr="004A267E">
        <w:rPr>
          <w:rFonts w:ascii="Georgia" w:eastAsia="Times New Roman" w:hAnsi="Georgia" w:cs="Arial"/>
          <w:color w:val="000000"/>
          <w:shd w:val="clear" w:color="auto" w:fill="FFFFFF"/>
          <w:vertAlign w:val="subscript"/>
        </w:rPr>
        <w:t>1c</w:t>
      </w:r>
      <w:r w:rsidR="004A267E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9817F4">
        <w:rPr>
          <w:rFonts w:ascii="Georgia" w:eastAsia="Times New Roman" w:hAnsi="Georgia" w:cs="Arial"/>
          <w:color w:val="000000"/>
          <w:shd w:val="clear" w:color="auto" w:fill="FFFFFF"/>
        </w:rPr>
        <w:t>and improve glycemic control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 [7</w:t>
      </w:r>
      <w:r w:rsidR="009817F4">
        <w:rPr>
          <w:rFonts w:ascii="Georgia" w:eastAsia="Times New Roman" w:hAnsi="Georgia" w:cs="Arial"/>
          <w:color w:val="000000"/>
          <w:shd w:val="clear" w:color="auto" w:fill="FFFFFF"/>
        </w:rPr>
        <w:t>]. Personalized, full-time care</w:t>
      </w:r>
      <w:r w:rsidR="00E03BD3">
        <w:rPr>
          <w:rFonts w:ascii="Georgia" w:eastAsia="Times New Roman" w:hAnsi="Georgia" w:cs="Arial"/>
          <w:color w:val="000000"/>
          <w:shd w:val="clear" w:color="auto" w:fill="FFFFFF"/>
        </w:rPr>
        <w:t xml:space="preserve"> and accountability</w:t>
      </w:r>
      <w:r w:rsidR="00EB3D94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9817F4">
        <w:rPr>
          <w:rFonts w:ascii="Georgia" w:eastAsia="Times New Roman" w:hAnsi="Georgia" w:cs="Arial"/>
          <w:color w:val="000000"/>
          <w:shd w:val="clear" w:color="auto" w:fill="FFFFFF"/>
        </w:rPr>
        <w:t>results in</w:t>
      </w:r>
      <w:r w:rsidR="00EB3D94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EE1CBF">
        <w:rPr>
          <w:rFonts w:ascii="Georgia" w:eastAsia="Times New Roman" w:hAnsi="Georgia" w:cs="Arial"/>
          <w:color w:val="000000"/>
          <w:shd w:val="clear" w:color="auto" w:fill="FFFFFF"/>
        </w:rPr>
        <w:t>exponential</w:t>
      </w:r>
      <w:r w:rsidR="009817F4">
        <w:rPr>
          <w:rFonts w:ascii="Georgia" w:eastAsia="Times New Roman" w:hAnsi="Georgia" w:cs="Arial"/>
          <w:color w:val="000000"/>
          <w:shd w:val="clear" w:color="auto" w:fill="FFFFFF"/>
        </w:rPr>
        <w:t xml:space="preserve"> magnitudes of improvement. </w:t>
      </w:r>
    </w:p>
    <w:p w14:paraId="143F63A8" w14:textId="77777777" w:rsidR="006D44A8" w:rsidRDefault="006D44A8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EDECF1D" w14:textId="24BC7663" w:rsidR="006D44A8" w:rsidRDefault="006D44A8" w:rsidP="00DB4B51">
      <w:pPr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</w:rPr>
      </w:pPr>
      <w:r w:rsidRPr="006D44A8"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</w:rPr>
        <w:t>Reversing Dementia</w:t>
      </w:r>
    </w:p>
    <w:p w14:paraId="55AAEBAE" w14:textId="77777777" w:rsidR="00CE0953" w:rsidRDefault="00CE0953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2A8E4EA9" w14:textId="3DA9853D" w:rsidR="00856EE3" w:rsidRDefault="0014743D" w:rsidP="004A557A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Specialized care and treatment may slow symptoms and even reverse </w:t>
      </w:r>
      <w:r w:rsidR="00C8638F">
        <w:rPr>
          <w:rFonts w:ascii="Georgia" w:eastAsia="Times New Roman" w:hAnsi="Georgia" w:cs="Arial"/>
          <w:color w:val="000000"/>
          <w:shd w:val="clear" w:color="auto" w:fill="FFFFFF"/>
        </w:rPr>
        <w:t>dementia in certain cases.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color w:val="000000"/>
          <w:shd w:val="clear" w:color="auto" w:fill="FFFFFF"/>
        </w:rPr>
        <w:t>Targeting causative factors can help with dementia prevention.</w:t>
      </w:r>
    </w:p>
    <w:p w14:paraId="4C5858F6" w14:textId="77777777" w:rsidR="00856EE3" w:rsidRDefault="00856EE3" w:rsidP="004A557A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23CE64D6" w14:textId="540DE828" w:rsidR="00802DAE" w:rsidRDefault="00AD0CFC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Anxiety</w:t>
      </w:r>
      <w:r w:rsidR="0014743D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has been linked to cognitive decline and dementia [8]. </w:t>
      </w:r>
      <w:r w:rsidR="004A557A">
        <w:rPr>
          <w:rFonts w:ascii="Georgia" w:eastAsia="Times New Roman" w:hAnsi="Georgia" w:cs="Arial"/>
          <w:color w:val="000000"/>
          <w:shd w:val="clear" w:color="auto" w:fill="FFFFFF"/>
        </w:rPr>
        <w:t>L</w:t>
      </w:r>
      <w:r w:rsidR="004A557A" w:rsidRPr="004A557A">
        <w:rPr>
          <w:rFonts w:ascii="Georgia" w:eastAsia="Times New Roman" w:hAnsi="Georgia" w:cs="Arial"/>
          <w:color w:val="000000"/>
          <w:shd w:val="clear" w:color="auto" w:fill="FFFFFF"/>
        </w:rPr>
        <w:t>ow plasma apolipoprotein E</w:t>
      </w:r>
      <w:r w:rsidR="004A557A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A42EC2">
        <w:rPr>
          <w:rFonts w:ascii="Georgia" w:eastAsia="Times New Roman" w:hAnsi="Georgia" w:cs="Arial"/>
          <w:color w:val="000000"/>
          <w:shd w:val="clear" w:color="auto" w:fill="FFFFFF"/>
        </w:rPr>
        <w:t xml:space="preserve">is also </w:t>
      </w:r>
      <w:r w:rsidR="004A557A">
        <w:rPr>
          <w:rFonts w:ascii="Georgia" w:eastAsia="Times New Roman" w:hAnsi="Georgia" w:cs="Arial"/>
          <w:color w:val="000000"/>
          <w:shd w:val="clear" w:color="auto" w:fill="FFFFFF"/>
        </w:rPr>
        <w:t xml:space="preserve">correlated to dementia [9]. </w:t>
      </w:r>
      <w:r w:rsidR="00C56FE2">
        <w:rPr>
          <w:rFonts w:ascii="Georgia" w:eastAsia="Times New Roman" w:hAnsi="Georgia" w:cs="Arial"/>
          <w:color w:val="000000"/>
          <w:shd w:val="clear" w:color="auto" w:fill="FFFFFF"/>
        </w:rPr>
        <w:t xml:space="preserve">Other potential causative factors </w:t>
      </w:r>
      <w:r w:rsidR="00580666">
        <w:rPr>
          <w:rFonts w:ascii="Georgia" w:eastAsia="Times New Roman" w:hAnsi="Georgia" w:cs="Arial"/>
          <w:color w:val="000000"/>
          <w:shd w:val="clear" w:color="auto" w:fill="FFFFFF"/>
        </w:rPr>
        <w:t>(other than genetic inheritance</w:t>
      </w:r>
      <w:r w:rsidR="00A42EC2">
        <w:rPr>
          <w:rFonts w:ascii="Georgia" w:eastAsia="Times New Roman" w:hAnsi="Georgia" w:cs="Arial"/>
          <w:color w:val="000000"/>
          <w:shd w:val="clear" w:color="auto" w:fill="FFFFFF"/>
        </w:rPr>
        <w:t xml:space="preserve">) </w:t>
      </w:r>
      <w:r w:rsidR="00C56FE2">
        <w:rPr>
          <w:rFonts w:ascii="Georgia" w:eastAsia="Times New Roman" w:hAnsi="Georgia" w:cs="Arial"/>
          <w:color w:val="000000"/>
          <w:shd w:val="clear" w:color="auto" w:fill="FFFFFF"/>
        </w:rPr>
        <w:t xml:space="preserve">include inflammation, </w:t>
      </w:r>
      <w:r w:rsidR="00E2792C">
        <w:rPr>
          <w:rFonts w:ascii="Georgia" w:eastAsia="Times New Roman" w:hAnsi="Georgia" w:cs="Arial"/>
          <w:color w:val="000000"/>
          <w:shd w:val="clear" w:color="auto" w:fill="FFFFFF"/>
        </w:rPr>
        <w:t>vitamin</w:t>
      </w:r>
      <w:r w:rsidR="00802DAE">
        <w:rPr>
          <w:rFonts w:ascii="Georgia" w:eastAsia="Times New Roman" w:hAnsi="Georgia" w:cs="Arial"/>
          <w:color w:val="000000"/>
          <w:shd w:val="clear" w:color="auto" w:fill="FFFFFF"/>
        </w:rPr>
        <w:t xml:space="preserve"> and dietary</w:t>
      </w:r>
      <w:r w:rsidR="00E2792C">
        <w:rPr>
          <w:rFonts w:ascii="Georgia" w:eastAsia="Times New Roman" w:hAnsi="Georgia" w:cs="Arial"/>
          <w:color w:val="000000"/>
          <w:shd w:val="clear" w:color="auto" w:fill="FFFFFF"/>
        </w:rPr>
        <w:t xml:space="preserve"> deficiencies,</w:t>
      </w:r>
      <w:r w:rsidR="00802DAE">
        <w:rPr>
          <w:rFonts w:ascii="Georgia" w:eastAsia="Times New Roman" w:hAnsi="Georgia" w:cs="Arial"/>
          <w:color w:val="000000"/>
          <w:shd w:val="clear" w:color="auto" w:fill="FFFFFF"/>
        </w:rPr>
        <w:t xml:space="preserve"> hormonal imbalances,</w:t>
      </w:r>
      <w:r w:rsidR="00E2792C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802DAE">
        <w:rPr>
          <w:rFonts w:ascii="Georgia" w:eastAsia="Times New Roman" w:hAnsi="Georgia" w:cs="Arial"/>
          <w:color w:val="000000"/>
          <w:shd w:val="clear" w:color="auto" w:fill="FFFFFF"/>
        </w:rPr>
        <w:t xml:space="preserve">vascular disorder, </w:t>
      </w:r>
      <w:r w:rsidR="00856EE3">
        <w:rPr>
          <w:rFonts w:ascii="Georgia" w:eastAsia="Times New Roman" w:hAnsi="Georgia" w:cs="Arial"/>
          <w:color w:val="000000"/>
          <w:shd w:val="clear" w:color="auto" w:fill="FFFFFF"/>
        </w:rPr>
        <w:t xml:space="preserve">depression, social activity, diabetes, and </w:t>
      </w:r>
      <w:r w:rsidR="0014743D">
        <w:rPr>
          <w:rFonts w:ascii="Georgia" w:eastAsia="Times New Roman" w:hAnsi="Georgia" w:cs="Arial"/>
          <w:color w:val="000000"/>
          <w:shd w:val="clear" w:color="auto" w:fill="FFFFFF"/>
        </w:rPr>
        <w:t>alcohol/</w:t>
      </w:r>
      <w:r w:rsidR="00856EE3">
        <w:rPr>
          <w:rFonts w:ascii="Georgia" w:eastAsia="Times New Roman" w:hAnsi="Georgia" w:cs="Arial"/>
          <w:color w:val="000000"/>
          <w:shd w:val="clear" w:color="auto" w:fill="FFFFFF"/>
        </w:rPr>
        <w:t xml:space="preserve">drug use [10]. </w:t>
      </w:r>
    </w:p>
    <w:p w14:paraId="3C907BD0" w14:textId="77777777" w:rsidR="00802DAE" w:rsidRDefault="00802DAE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656E462F" w14:textId="2084B22A" w:rsidR="001E4893" w:rsidRDefault="00237477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Healing</w:t>
      </w:r>
      <w:r w:rsidR="000A16E5">
        <w:rPr>
          <w:rFonts w:ascii="Georgia" w:eastAsia="Times New Roman" w:hAnsi="Georgia" w:cs="Arial"/>
          <w:color w:val="000000"/>
          <w:shd w:val="clear" w:color="auto" w:fill="FFFFFF"/>
        </w:rPr>
        <w:t xml:space="preserve"> diabetes</w:t>
      </w:r>
      <w:r w:rsidR="00E866E7">
        <w:rPr>
          <w:rFonts w:ascii="Georgia" w:eastAsia="Times New Roman" w:hAnsi="Georgia" w:cs="Arial"/>
          <w:color w:val="000000"/>
          <w:shd w:val="clear" w:color="auto" w:fill="FFFFFF"/>
        </w:rPr>
        <w:t>, inflammation,</w:t>
      </w:r>
      <w:r w:rsidR="000A16E5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E866E7">
        <w:rPr>
          <w:rFonts w:ascii="Georgia" w:eastAsia="Times New Roman" w:hAnsi="Georgia" w:cs="Arial"/>
          <w:color w:val="000000"/>
          <w:shd w:val="clear" w:color="auto" w:fill="FFFFFF"/>
        </w:rPr>
        <w:t xml:space="preserve">and other causative </w:t>
      </w:r>
      <w:r w:rsidR="000A16E5">
        <w:rPr>
          <w:rFonts w:ascii="Georgia" w:eastAsia="Times New Roman" w:hAnsi="Georgia" w:cs="Arial"/>
          <w:color w:val="000000"/>
          <w:shd w:val="clear" w:color="auto" w:fill="FFFFFF"/>
        </w:rPr>
        <w:t>condition</w:t>
      </w:r>
      <w:r w:rsidR="00E866E7">
        <w:rPr>
          <w:rFonts w:ascii="Georgia" w:eastAsia="Times New Roman" w:hAnsi="Georgia" w:cs="Arial"/>
          <w:color w:val="000000"/>
          <w:shd w:val="clear" w:color="auto" w:fill="FFFFFF"/>
        </w:rPr>
        <w:t>s</w:t>
      </w:r>
      <w:r w:rsidR="000A16E5">
        <w:rPr>
          <w:rFonts w:ascii="Georgia" w:eastAsia="Times New Roman" w:hAnsi="Georgia" w:cs="Arial"/>
          <w:color w:val="000000"/>
          <w:shd w:val="clear" w:color="auto" w:fill="FFFFFF"/>
        </w:rPr>
        <w:t xml:space="preserve"> may facilitate a reverse in dementia. </w:t>
      </w:r>
      <w:r w:rsidR="00802DAE">
        <w:rPr>
          <w:rFonts w:ascii="Georgia" w:eastAsia="Times New Roman" w:hAnsi="Georgia" w:cs="Arial"/>
          <w:color w:val="000000"/>
          <w:shd w:val="clear" w:color="auto" w:fill="FFFFFF"/>
        </w:rPr>
        <w:t>Meticulous testing</w:t>
      </w:r>
      <w:r w:rsidR="00C8638F"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802DAE">
        <w:rPr>
          <w:rFonts w:ascii="Georgia" w:eastAsia="Times New Roman" w:hAnsi="Georgia" w:cs="Arial"/>
          <w:color w:val="000000"/>
          <w:shd w:val="clear" w:color="auto" w:fill="FFFFFF"/>
        </w:rPr>
        <w:t xml:space="preserve">and monitoring, coupled with regimented lifestyle changes, can help fight this illness. </w:t>
      </w:r>
      <w:r w:rsidR="00E866E7">
        <w:rPr>
          <w:rFonts w:ascii="Georgia" w:eastAsia="Times New Roman" w:hAnsi="Georgia" w:cs="Arial"/>
          <w:color w:val="000000"/>
          <w:shd w:val="clear" w:color="auto" w:fill="FFFFFF"/>
        </w:rPr>
        <w:t xml:space="preserve">Medications can </w:t>
      </w:r>
      <w:r w:rsidR="0014743D">
        <w:rPr>
          <w:rFonts w:ascii="Georgia" w:eastAsia="Times New Roman" w:hAnsi="Georgia" w:cs="Arial"/>
          <w:color w:val="000000"/>
          <w:shd w:val="clear" w:color="auto" w:fill="FFFFFF"/>
        </w:rPr>
        <w:t xml:space="preserve">be used alongside ancillary therapies </w:t>
      </w:r>
      <w:r w:rsidR="00E866E7">
        <w:rPr>
          <w:rFonts w:ascii="Georgia" w:eastAsia="Times New Roman" w:hAnsi="Georgia" w:cs="Arial"/>
          <w:color w:val="000000"/>
          <w:shd w:val="clear" w:color="auto" w:fill="FFFFFF"/>
        </w:rPr>
        <w:t xml:space="preserve">to slow intellectual decline. </w:t>
      </w:r>
      <w:r w:rsidR="0014743D">
        <w:rPr>
          <w:rFonts w:ascii="Georgia" w:eastAsia="Times New Roman" w:hAnsi="Georgia" w:cs="Arial"/>
          <w:color w:val="000000"/>
          <w:shd w:val="clear" w:color="auto" w:fill="FFFFFF"/>
        </w:rPr>
        <w:t>Stimulation of cognitive functions</w:t>
      </w:r>
      <w:r w:rsidR="0014743D">
        <w:rPr>
          <w:rFonts w:ascii="Georgia" w:eastAsia="Times New Roman" w:hAnsi="Georgia" w:cs="Arial"/>
          <w:color w:val="000000"/>
          <w:shd w:val="clear" w:color="auto" w:fill="FFFFFF"/>
        </w:rPr>
        <w:t xml:space="preserve"> (</w:t>
      </w:r>
      <w:r w:rsidR="0014743D">
        <w:rPr>
          <w:rFonts w:ascii="Georgia" w:eastAsia="Times New Roman" w:hAnsi="Georgia" w:cs="Arial"/>
          <w:color w:val="000000"/>
          <w:shd w:val="clear" w:color="auto" w:fill="FFFFFF"/>
        </w:rPr>
        <w:t>through psychotherapy)</w:t>
      </w:r>
      <w:r w:rsidR="00C8638F">
        <w:rPr>
          <w:rFonts w:ascii="Georgia" w:eastAsia="Times New Roman" w:hAnsi="Georgia" w:cs="Arial"/>
          <w:color w:val="000000"/>
          <w:shd w:val="clear" w:color="auto" w:fill="FFFFFF"/>
        </w:rPr>
        <w:t>, for example,</w:t>
      </w:r>
      <w:r w:rsidR="0014743D">
        <w:rPr>
          <w:rFonts w:ascii="Georgia" w:eastAsia="Times New Roman" w:hAnsi="Georgia" w:cs="Arial"/>
          <w:color w:val="000000"/>
          <w:shd w:val="clear" w:color="auto" w:fill="FFFFFF"/>
        </w:rPr>
        <w:t xml:space="preserve"> improves cognition in dementia patients [</w:t>
      </w:r>
      <w:r w:rsidR="00C8638F">
        <w:rPr>
          <w:rFonts w:ascii="Georgia" w:eastAsia="Times New Roman" w:hAnsi="Georgia" w:cs="Arial"/>
          <w:color w:val="000000"/>
          <w:shd w:val="clear" w:color="auto" w:fill="FFFFFF"/>
        </w:rPr>
        <w:t>11</w:t>
      </w:r>
      <w:r w:rsidR="0014743D">
        <w:rPr>
          <w:rFonts w:ascii="Georgia" w:eastAsia="Times New Roman" w:hAnsi="Georgia" w:cs="Arial"/>
          <w:color w:val="000000"/>
          <w:shd w:val="clear" w:color="auto" w:fill="FFFFFF"/>
        </w:rPr>
        <w:t>].</w:t>
      </w:r>
    </w:p>
    <w:p w14:paraId="75592E52" w14:textId="66C8A521" w:rsidR="006F533F" w:rsidRDefault="006F533F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952F93F" w14:textId="43B3B7A9" w:rsidR="006F533F" w:rsidRPr="006F533F" w:rsidRDefault="006F533F" w:rsidP="00DB4B51">
      <w:pPr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</w:rPr>
      </w:pPr>
      <w:r w:rsidRPr="006F533F">
        <w:rPr>
          <w:rFonts w:ascii="Georgia" w:eastAsia="Times New Roman" w:hAnsi="Georgia" w:cs="Arial"/>
          <w:b/>
          <w:color w:val="000000"/>
          <w:sz w:val="28"/>
          <w:szCs w:val="28"/>
          <w:shd w:val="clear" w:color="auto" w:fill="FFFFFF"/>
        </w:rPr>
        <w:t>Personalized Physician Care</w:t>
      </w:r>
    </w:p>
    <w:p w14:paraId="7F30D0A8" w14:textId="34AC30CA" w:rsidR="006F533F" w:rsidRDefault="006F533F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3899C326" w14:textId="2F1FA7C9" w:rsidR="006F533F" w:rsidRDefault="006F533F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Most physicians treat upwards of 5,000 patients at a time, making individual advocacy impossible.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Patients </w:t>
      </w:r>
      <w:r w:rsidR="00D8278B">
        <w:rPr>
          <w:rFonts w:ascii="Georgia" w:eastAsia="Times New Roman" w:hAnsi="Georgia" w:cs="Arial"/>
          <w:color w:val="000000"/>
          <w:shd w:val="clear" w:color="auto" w:fill="FFFFFF"/>
        </w:rPr>
        <w:t xml:space="preserve">with chronic illness </w:t>
      </w:r>
      <w:r>
        <w:rPr>
          <w:rFonts w:ascii="Georgia" w:eastAsia="Times New Roman" w:hAnsi="Georgia" w:cs="Arial"/>
          <w:color w:val="000000"/>
          <w:shd w:val="clear" w:color="auto" w:fill="FFFFFF"/>
        </w:rPr>
        <w:t>are seen for 5-10 minutes</w:t>
      </w:r>
      <w:r w:rsidR="000618B7">
        <w:rPr>
          <w:rFonts w:ascii="Georgia" w:eastAsia="Times New Roman" w:hAnsi="Georgia" w:cs="Arial"/>
          <w:color w:val="000000"/>
          <w:shd w:val="clear" w:color="auto" w:fill="FFFFFF"/>
        </w:rPr>
        <w:t xml:space="preserve"> after waiting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weeks or months</w:t>
      </w:r>
      <w:r w:rsidR="000618B7">
        <w:rPr>
          <w:rFonts w:ascii="Georgia" w:eastAsia="Times New Roman" w:hAnsi="Georgia" w:cs="Arial"/>
          <w:color w:val="000000"/>
          <w:shd w:val="clear" w:color="auto" w:fill="FFFFFF"/>
        </w:rPr>
        <w:t xml:space="preserve"> on a quadruple-booked list</w:t>
      </w:r>
      <w:r>
        <w:rPr>
          <w:rFonts w:ascii="Georgia" w:eastAsia="Times New Roman" w:hAnsi="Georgia" w:cs="Arial"/>
          <w:color w:val="000000"/>
          <w:shd w:val="clear" w:color="auto" w:fill="FFFFFF"/>
        </w:rPr>
        <w:t>. Then they are se</w:t>
      </w:r>
      <w:r w:rsidR="00EE1381">
        <w:rPr>
          <w:rFonts w:ascii="Georgia" w:eastAsia="Times New Roman" w:hAnsi="Georgia" w:cs="Arial"/>
          <w:color w:val="000000"/>
          <w:shd w:val="clear" w:color="auto" w:fill="FFFFFF"/>
        </w:rPr>
        <w:t>n</w:t>
      </w:r>
      <w:r>
        <w:rPr>
          <w:rFonts w:ascii="Georgia" w:eastAsia="Times New Roman" w:hAnsi="Georgia" w:cs="Arial"/>
          <w:color w:val="000000"/>
          <w:shd w:val="clear" w:color="auto" w:fill="FFFFFF"/>
        </w:rPr>
        <w:t>t to fend for themselves</w:t>
      </w:r>
      <w:r w:rsidR="00D72789">
        <w:rPr>
          <w:rFonts w:ascii="Georgia" w:eastAsia="Times New Roman" w:hAnsi="Georgia" w:cs="Arial"/>
          <w:color w:val="000000"/>
          <w:shd w:val="clear" w:color="auto" w:fill="FFFFFF"/>
        </w:rPr>
        <w:t>.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</w:p>
    <w:p w14:paraId="2415870A" w14:textId="02F559DB" w:rsidR="006F533F" w:rsidRDefault="006F533F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E5A7E76" w14:textId="19A0DDE4" w:rsidR="006F533F" w:rsidRDefault="00D72789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With personalized physician care, </w:t>
      </w:r>
      <w:r w:rsidR="00ED7389">
        <w:rPr>
          <w:rFonts w:ascii="Georgia" w:eastAsia="Times New Roman" w:hAnsi="Georgia" w:cs="Arial"/>
          <w:color w:val="000000"/>
          <w:shd w:val="clear" w:color="auto" w:fill="FFFFFF"/>
        </w:rPr>
        <w:t>the physician</w:t>
      </w:r>
      <w:r w:rsidR="0075109C">
        <w:rPr>
          <w:rFonts w:ascii="Georgia" w:eastAsia="Times New Roman" w:hAnsi="Georgia" w:cs="Arial"/>
          <w:color w:val="000000"/>
          <w:shd w:val="clear" w:color="auto" w:fill="FFFFFF"/>
        </w:rPr>
        <w:t xml:space="preserve"> is available 24/7 with long appointments and house calls requiring little-to-no notice. </w:t>
      </w:r>
      <w:r w:rsidR="00ED7389">
        <w:rPr>
          <w:rFonts w:ascii="Georgia" w:eastAsia="Times New Roman" w:hAnsi="Georgia" w:cs="Arial"/>
          <w:color w:val="000000"/>
          <w:shd w:val="clear" w:color="auto" w:fill="FFFFFF"/>
        </w:rPr>
        <w:t>With a limited practice of</w:t>
      </w:r>
      <w:r w:rsidR="00580666">
        <w:rPr>
          <w:rFonts w:ascii="Georgia" w:eastAsia="Times New Roman" w:hAnsi="Georgia" w:cs="Arial"/>
          <w:color w:val="000000"/>
          <w:shd w:val="clear" w:color="auto" w:fill="FFFFFF"/>
        </w:rPr>
        <w:t xml:space="preserve"> roughly</w:t>
      </w:r>
      <w:bookmarkStart w:id="0" w:name="_GoBack"/>
      <w:bookmarkEnd w:id="0"/>
      <w:r w:rsidR="00ED7389">
        <w:rPr>
          <w:rFonts w:ascii="Georgia" w:eastAsia="Times New Roman" w:hAnsi="Georgia" w:cs="Arial"/>
          <w:color w:val="000000"/>
          <w:shd w:val="clear" w:color="auto" w:fill="FFFFFF"/>
        </w:rPr>
        <w:t xml:space="preserve"> 150 patients, the physician can tailor and coordinate car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e down to the minutest </w:t>
      </w:r>
      <w:r w:rsidR="00231B33">
        <w:rPr>
          <w:rFonts w:ascii="Georgia" w:eastAsia="Times New Roman" w:hAnsi="Georgia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F37B4AF" wp14:editId="6AA6C5E8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3126105" cy="2084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tty-woman-1509956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details, including the entire spectrum of lifestyle 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and medical </w:t>
      </w:r>
      <w:r w:rsidR="00363F53">
        <w:rPr>
          <w:rFonts w:ascii="Georgia" w:eastAsia="Times New Roman" w:hAnsi="Georgia" w:cs="Arial"/>
          <w:color w:val="000000"/>
          <w:shd w:val="clear" w:color="auto" w:fill="FFFFFF"/>
        </w:rPr>
        <w:t xml:space="preserve">factors. </w:t>
      </w:r>
      <w:r w:rsidR="0075109C">
        <w:rPr>
          <w:rFonts w:ascii="Georgia" w:eastAsia="Times New Roman" w:hAnsi="Georgia" w:cs="Arial"/>
          <w:color w:val="000000"/>
          <w:shd w:val="clear" w:color="auto" w:fill="FFFFFF"/>
        </w:rPr>
        <w:t xml:space="preserve">The patient </w:t>
      </w:r>
      <w:r w:rsidR="00ED7389">
        <w:rPr>
          <w:rFonts w:ascii="Georgia" w:eastAsia="Times New Roman" w:hAnsi="Georgia" w:cs="Arial"/>
          <w:color w:val="000000"/>
          <w:shd w:val="clear" w:color="auto" w:fill="FFFFFF"/>
        </w:rPr>
        <w:t>wins</w:t>
      </w:r>
      <w:r w:rsidR="0075109C">
        <w:rPr>
          <w:rFonts w:ascii="Georgia" w:eastAsia="Times New Roman" w:hAnsi="Georgia" w:cs="Arial"/>
          <w:color w:val="000000"/>
          <w:shd w:val="clear" w:color="auto" w:fill="FFFFFF"/>
        </w:rPr>
        <w:t xml:space="preserve"> a true partner in the journey to conquer their condition.</w:t>
      </w:r>
    </w:p>
    <w:p w14:paraId="5BBC12CE" w14:textId="77777777" w:rsidR="00ED7389" w:rsidRDefault="00ED7389" w:rsidP="00DB4B51">
      <w:pPr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6C9E315" w14:textId="423CAF42" w:rsidR="00FD14AF" w:rsidRDefault="00ED7389" w:rsidP="00FD14AF">
      <w:pPr>
        <w:rPr>
          <w:rFonts w:ascii="Georgia" w:eastAsia="Times New Roman" w:hAnsi="Georgia" w:cs="Arial"/>
          <w:color w:val="000000"/>
          <w:shd w:val="clear" w:color="auto" w:fill="FFFFFF"/>
        </w:rPr>
      </w:pPr>
      <w:r>
        <w:rPr>
          <w:rFonts w:ascii="Georgia" w:eastAsia="Times New Roman" w:hAnsi="Georgia" w:cs="Arial"/>
          <w:color w:val="000000"/>
          <w:shd w:val="clear" w:color="auto" w:fill="FFFFFF"/>
        </w:rPr>
        <w:t>With a personal health coordinator, specialist care, hospital care, travel medicine service, and the full-blown dedication of an expert</w:t>
      </w:r>
      <w:r w:rsidR="008E6518">
        <w:rPr>
          <w:rFonts w:ascii="Georgia" w:eastAsia="Times New Roman" w:hAnsi="Georgia" w:cs="Arial"/>
          <w:color w:val="000000"/>
          <w:shd w:val="clear" w:color="auto" w:fill="FFFFFF"/>
        </w:rPr>
        <w:t xml:space="preserve"> physician, patients are empowered to root out the causes of their illness. </w:t>
      </w:r>
      <w:r w:rsidR="00FD14AF">
        <w:rPr>
          <w:rFonts w:ascii="Georgia" w:eastAsia="Times New Roman" w:hAnsi="Georgia" w:cs="Arial"/>
          <w:color w:val="000000"/>
          <w:shd w:val="clear" w:color="auto" w:fill="FFFFFF"/>
        </w:rPr>
        <w:t>This is the key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  <w:r w:rsidR="00FD14AF">
        <w:rPr>
          <w:rFonts w:ascii="Georgia" w:eastAsia="Times New Roman" w:hAnsi="Georgia" w:cs="Arial"/>
          <w:color w:val="000000"/>
          <w:shd w:val="clear" w:color="auto" w:fill="FFFFFF"/>
        </w:rPr>
        <w:t>to reversing</w:t>
      </w:r>
      <w:r w:rsidR="00FD14AF">
        <w:rPr>
          <w:rFonts w:ascii="Georgia" w:eastAsia="Times New Roman" w:hAnsi="Georgia" w:cs="Arial"/>
          <w:color w:val="000000"/>
          <w:shd w:val="clear" w:color="auto" w:fill="FFFFFF"/>
        </w:rPr>
        <w:t xml:space="preserve"> chronic illness</w:t>
      </w:r>
      <w:r w:rsidR="00FD14AF">
        <w:rPr>
          <w:rFonts w:ascii="Georgia" w:eastAsia="Times New Roman" w:hAnsi="Georgia" w:cs="Arial"/>
          <w:color w:val="000000"/>
          <w:shd w:val="clear" w:color="auto" w:fill="FFFFFF"/>
        </w:rPr>
        <w:t>.</w:t>
      </w:r>
    </w:p>
    <w:p w14:paraId="592A552E" w14:textId="0A8A4BE2" w:rsidR="00ED7389" w:rsidRPr="00DB4B51" w:rsidRDefault="00ED7389" w:rsidP="00DB4B51">
      <w:pPr>
        <w:rPr>
          <w:rFonts w:ascii="Georgia" w:eastAsia="Times New Roman" w:hAnsi="Georgia"/>
        </w:rPr>
      </w:pPr>
    </w:p>
    <w:p w14:paraId="51F72266" w14:textId="77777777" w:rsidR="008373F8" w:rsidRDefault="008373F8" w:rsidP="00F0468D">
      <w:pPr>
        <w:shd w:val="clear" w:color="auto" w:fill="FFFFFF"/>
        <w:textAlignment w:val="baseline"/>
        <w:rPr>
          <w:rFonts w:ascii="Open Sans" w:eastAsia="Times New Roman" w:hAnsi="Open Sans"/>
          <w:color w:val="333333"/>
          <w:sz w:val="21"/>
          <w:szCs w:val="21"/>
        </w:rPr>
      </w:pPr>
    </w:p>
    <w:p w14:paraId="1A891334" w14:textId="77777777" w:rsidR="00FC76AE" w:rsidRDefault="00580666">
      <w:pPr>
        <w:rPr>
          <w:rFonts w:ascii="Georgia" w:hAnsi="Georgia"/>
        </w:rPr>
      </w:pPr>
    </w:p>
    <w:p w14:paraId="36A7821E" w14:textId="0A8DFCAD" w:rsidR="00F0468D" w:rsidRPr="00231B33" w:rsidRDefault="00363F53" w:rsidP="00363F53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 xml:space="preserve">Yeh, Byung-Il &amp; Kong, In D. (2013). The Advent of Lifestyle Medicine. </w:t>
      </w:r>
      <w:r w:rsidRPr="00231B33">
        <w:rPr>
          <w:rFonts w:ascii="Georgia" w:hAnsi="Georgia"/>
          <w:i/>
          <w:sz w:val="16"/>
          <w:szCs w:val="16"/>
        </w:rPr>
        <w:t>Journal of Lifestyle Medicine</w:t>
      </w:r>
      <w:r w:rsidRPr="00231B33">
        <w:rPr>
          <w:rFonts w:ascii="Georgia" w:hAnsi="Georgia"/>
          <w:sz w:val="16"/>
          <w:szCs w:val="16"/>
        </w:rPr>
        <w:t xml:space="preserve">, 3(1): 1-8. </w:t>
      </w:r>
    </w:p>
    <w:p w14:paraId="7537CAD6" w14:textId="369F6C69" w:rsidR="00ED7389" w:rsidRPr="00231B33" w:rsidRDefault="00ED7389" w:rsidP="00ED7389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 xml:space="preserve">Mcdermott, J., </w:t>
      </w:r>
      <w:r w:rsidR="00363F53" w:rsidRPr="00231B33">
        <w:rPr>
          <w:rFonts w:ascii="Georgia" w:hAnsi="Georgia"/>
          <w:sz w:val="16"/>
          <w:szCs w:val="16"/>
        </w:rPr>
        <w:t>et al.</w:t>
      </w:r>
      <w:r w:rsidRPr="00231B33">
        <w:rPr>
          <w:rFonts w:ascii="Georgia" w:hAnsi="Georgia"/>
          <w:sz w:val="16"/>
          <w:szCs w:val="16"/>
        </w:rPr>
        <w:t xml:space="preserve"> (2018). The Prediabetes Diet Plan: How to Reverse Prediabetes and Prevent Diabetes Through Healthy Eating and Exercise. </w:t>
      </w:r>
      <w:r w:rsidRPr="00231B33">
        <w:rPr>
          <w:rFonts w:ascii="Georgia" w:hAnsi="Georgia"/>
          <w:i/>
          <w:iCs/>
          <w:sz w:val="16"/>
          <w:szCs w:val="16"/>
        </w:rPr>
        <w:t>Clinical Diabetes,</w:t>
      </w:r>
      <w:r w:rsidRPr="00231B33">
        <w:rPr>
          <w:rFonts w:ascii="Georgia" w:hAnsi="Georgia"/>
          <w:sz w:val="16"/>
          <w:szCs w:val="16"/>
        </w:rPr>
        <w:t> </w:t>
      </w:r>
      <w:r w:rsidRPr="00231B33">
        <w:rPr>
          <w:rFonts w:ascii="Georgia" w:hAnsi="Georgia"/>
          <w:i/>
          <w:iCs/>
          <w:sz w:val="16"/>
          <w:szCs w:val="16"/>
        </w:rPr>
        <w:t>36</w:t>
      </w:r>
      <w:r w:rsidRPr="00231B33">
        <w:rPr>
          <w:rFonts w:ascii="Georgia" w:hAnsi="Georgia"/>
          <w:sz w:val="16"/>
          <w:szCs w:val="16"/>
        </w:rPr>
        <w:t>(4), 334-335. doi:10.2337/cd18-0073</w:t>
      </w:r>
    </w:p>
    <w:p w14:paraId="136D2C36" w14:textId="0C95EF41" w:rsidR="00F0468D" w:rsidRPr="00231B33" w:rsidRDefault="00ED7389" w:rsidP="00ED7389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>Aljabri, K., et al</w:t>
      </w:r>
      <w:r w:rsidR="00590B6F">
        <w:rPr>
          <w:rFonts w:ascii="Georgia" w:hAnsi="Georgia"/>
          <w:sz w:val="16"/>
          <w:szCs w:val="16"/>
        </w:rPr>
        <w:t>. (2010). Glycemic Changes after Vitamin D S</w:t>
      </w:r>
      <w:r w:rsidRPr="00231B33">
        <w:rPr>
          <w:rFonts w:ascii="Georgia" w:hAnsi="Georgia"/>
          <w:sz w:val="16"/>
          <w:szCs w:val="16"/>
        </w:rPr>
        <w:t>up</w:t>
      </w:r>
      <w:r w:rsidR="00590B6F">
        <w:rPr>
          <w:rFonts w:ascii="Georgia" w:hAnsi="Georgia"/>
          <w:sz w:val="16"/>
          <w:szCs w:val="16"/>
        </w:rPr>
        <w:t>plementation in Patients with Type 1 Diabetes Mellitus and Vitamin D D</w:t>
      </w:r>
      <w:r w:rsidRPr="00231B33">
        <w:rPr>
          <w:rFonts w:ascii="Georgia" w:hAnsi="Georgia"/>
          <w:sz w:val="16"/>
          <w:szCs w:val="16"/>
        </w:rPr>
        <w:t>eficiency. </w:t>
      </w:r>
      <w:r w:rsidRPr="00231B33">
        <w:rPr>
          <w:rFonts w:ascii="Georgia" w:hAnsi="Georgia"/>
          <w:i/>
          <w:iCs/>
          <w:sz w:val="16"/>
          <w:szCs w:val="16"/>
        </w:rPr>
        <w:t>Annals of Saudi Medicine,</w:t>
      </w:r>
      <w:r w:rsidRPr="00231B33">
        <w:rPr>
          <w:rFonts w:ascii="Georgia" w:hAnsi="Georgia"/>
          <w:sz w:val="16"/>
          <w:szCs w:val="16"/>
        </w:rPr>
        <w:t> </w:t>
      </w:r>
      <w:r w:rsidRPr="00231B33">
        <w:rPr>
          <w:rFonts w:ascii="Georgia" w:hAnsi="Georgia"/>
          <w:i/>
          <w:iCs/>
          <w:sz w:val="16"/>
          <w:szCs w:val="16"/>
        </w:rPr>
        <w:t>30</w:t>
      </w:r>
      <w:r w:rsidRPr="00231B33">
        <w:rPr>
          <w:rFonts w:ascii="Georgia" w:hAnsi="Georgia"/>
          <w:sz w:val="16"/>
          <w:szCs w:val="16"/>
        </w:rPr>
        <w:t>(6), 454. doi:10.4103/0256-4947.72265</w:t>
      </w:r>
    </w:p>
    <w:p w14:paraId="5E45BF86" w14:textId="2C1D0EAE" w:rsidR="0019517F" w:rsidRPr="00231B33" w:rsidRDefault="0019517F" w:rsidP="0019517F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>Martins IJ &amp; Calderón AM (2016).</w:t>
      </w:r>
      <w:r w:rsidR="00590B6F">
        <w:rPr>
          <w:rFonts w:ascii="Georgia" w:hAnsi="Georgia"/>
          <w:sz w:val="16"/>
          <w:szCs w:val="16"/>
        </w:rPr>
        <w:t xml:space="preserve"> Diet and Nutrition R</w:t>
      </w:r>
      <w:r w:rsidRPr="00231B33">
        <w:rPr>
          <w:rFonts w:ascii="Georgia" w:hAnsi="Georgia"/>
          <w:sz w:val="16"/>
          <w:szCs w:val="16"/>
        </w:rPr>
        <w:t>everse Type 3 Diabetes and Acce</w:t>
      </w:r>
      <w:r w:rsidR="00590B6F">
        <w:rPr>
          <w:rFonts w:ascii="Georgia" w:hAnsi="Georgia"/>
          <w:sz w:val="16"/>
          <w:szCs w:val="16"/>
        </w:rPr>
        <w:t>lerated Aging linked to Global Chronic D</w:t>
      </w:r>
      <w:r w:rsidRPr="00231B33">
        <w:rPr>
          <w:rFonts w:ascii="Georgia" w:hAnsi="Georgia"/>
          <w:sz w:val="16"/>
          <w:szCs w:val="16"/>
        </w:rPr>
        <w:t>iseases. J Dia Res Ther 2(2): doi http://dx.doi.org/10.16966/2380-5544.117</w:t>
      </w:r>
    </w:p>
    <w:p w14:paraId="5CEDDA48" w14:textId="6A7D3079" w:rsidR="00084DE6" w:rsidRPr="00231B33" w:rsidRDefault="00084DE6" w:rsidP="00084DE6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>Tayl</w:t>
      </w:r>
      <w:r w:rsidR="00590B6F">
        <w:rPr>
          <w:rFonts w:ascii="Georgia" w:hAnsi="Georgia"/>
          <w:sz w:val="16"/>
          <w:szCs w:val="16"/>
        </w:rPr>
        <w:t>or, R. (2008). Pathogenesis of Type 2 Diabetes: Tracing the Reverse Route from Cure to C</w:t>
      </w:r>
      <w:r w:rsidRPr="00231B33">
        <w:rPr>
          <w:rFonts w:ascii="Georgia" w:hAnsi="Georgia"/>
          <w:sz w:val="16"/>
          <w:szCs w:val="16"/>
        </w:rPr>
        <w:t>ause. </w:t>
      </w:r>
      <w:r w:rsidRPr="00231B33">
        <w:rPr>
          <w:rFonts w:ascii="Georgia" w:hAnsi="Georgia"/>
          <w:i/>
          <w:iCs/>
          <w:sz w:val="16"/>
          <w:szCs w:val="16"/>
        </w:rPr>
        <w:t>Diabetologia,</w:t>
      </w:r>
      <w:r w:rsidRPr="00231B33">
        <w:rPr>
          <w:rFonts w:ascii="Georgia" w:hAnsi="Georgia"/>
          <w:sz w:val="16"/>
          <w:szCs w:val="16"/>
        </w:rPr>
        <w:t> </w:t>
      </w:r>
      <w:r w:rsidRPr="00231B33">
        <w:rPr>
          <w:rFonts w:ascii="Georgia" w:hAnsi="Georgia"/>
          <w:i/>
          <w:iCs/>
          <w:sz w:val="16"/>
          <w:szCs w:val="16"/>
        </w:rPr>
        <w:t>51</w:t>
      </w:r>
      <w:r w:rsidRPr="00231B33">
        <w:rPr>
          <w:rFonts w:ascii="Georgia" w:hAnsi="Georgia"/>
          <w:sz w:val="16"/>
          <w:szCs w:val="16"/>
        </w:rPr>
        <w:t>(10), 1781-1789. doi:10.1007/s00125-008-1116-7</w:t>
      </w:r>
    </w:p>
    <w:p w14:paraId="7C3A8EEE" w14:textId="14A3AD40" w:rsidR="009817F4" w:rsidRPr="00231B33" w:rsidRDefault="009817F4" w:rsidP="009817F4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 xml:space="preserve">Giugliano, D., et al. </w:t>
      </w:r>
      <w:r w:rsidR="00590B6F">
        <w:rPr>
          <w:rFonts w:ascii="Georgia" w:hAnsi="Georgia"/>
          <w:sz w:val="16"/>
          <w:szCs w:val="16"/>
        </w:rPr>
        <w:t xml:space="preserve"> (2018). Clinical Inertia, R</w:t>
      </w:r>
      <w:r w:rsidRPr="00231B33">
        <w:rPr>
          <w:rFonts w:ascii="Georgia" w:hAnsi="Georgia"/>
          <w:sz w:val="16"/>
          <w:szCs w:val="16"/>
        </w:rPr>
        <w:t>eve</w:t>
      </w:r>
      <w:r w:rsidR="00590B6F">
        <w:rPr>
          <w:rFonts w:ascii="Georgia" w:hAnsi="Georgia"/>
          <w:sz w:val="16"/>
          <w:szCs w:val="16"/>
        </w:rPr>
        <w:t>rse Clinical Inertia, and Medication Non-Adherence in Type 2 D</w:t>
      </w:r>
      <w:r w:rsidRPr="00231B33">
        <w:rPr>
          <w:rFonts w:ascii="Georgia" w:hAnsi="Georgia"/>
          <w:sz w:val="16"/>
          <w:szCs w:val="16"/>
        </w:rPr>
        <w:t>iabetes. </w:t>
      </w:r>
      <w:r w:rsidRPr="00231B33">
        <w:rPr>
          <w:rFonts w:ascii="Georgia" w:hAnsi="Georgia"/>
          <w:i/>
          <w:iCs/>
          <w:sz w:val="16"/>
          <w:szCs w:val="16"/>
        </w:rPr>
        <w:t>Journal of Endocrinological Investigation</w:t>
      </w:r>
      <w:r w:rsidRPr="00231B33">
        <w:rPr>
          <w:rFonts w:ascii="Georgia" w:hAnsi="Georgia"/>
          <w:sz w:val="16"/>
          <w:szCs w:val="16"/>
        </w:rPr>
        <w:t>. doi:10.1007/s40618-018-0951-8</w:t>
      </w:r>
    </w:p>
    <w:p w14:paraId="4CCE3CB0" w14:textId="627605D7" w:rsidR="009817F4" w:rsidRPr="00231B33" w:rsidRDefault="009817F4" w:rsidP="009817F4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>Berman, M. A., et al. (2018). Change in Glycemic Control with Use of a</w:t>
      </w:r>
      <w:r w:rsidR="00590B6F">
        <w:rPr>
          <w:rFonts w:ascii="Georgia" w:hAnsi="Georgia"/>
          <w:sz w:val="16"/>
          <w:szCs w:val="16"/>
        </w:rPr>
        <w:t xml:space="preserve"> Digital Therapeutic in Adults w</w:t>
      </w:r>
      <w:r w:rsidRPr="00231B33">
        <w:rPr>
          <w:rFonts w:ascii="Georgia" w:hAnsi="Georgia"/>
          <w:sz w:val="16"/>
          <w:szCs w:val="16"/>
        </w:rPr>
        <w:t>ith Type 2 Diabetes: Cohort Study. </w:t>
      </w:r>
      <w:r w:rsidRPr="00231B33">
        <w:rPr>
          <w:rFonts w:ascii="Georgia" w:hAnsi="Georgia"/>
          <w:i/>
          <w:iCs/>
          <w:sz w:val="16"/>
          <w:szCs w:val="16"/>
        </w:rPr>
        <w:t>JMIR Diabetes,</w:t>
      </w:r>
      <w:r w:rsidRPr="00231B33">
        <w:rPr>
          <w:rFonts w:ascii="Georgia" w:hAnsi="Georgia"/>
          <w:sz w:val="16"/>
          <w:szCs w:val="16"/>
        </w:rPr>
        <w:t> </w:t>
      </w:r>
      <w:r w:rsidRPr="00231B33">
        <w:rPr>
          <w:rFonts w:ascii="Georgia" w:hAnsi="Georgia"/>
          <w:i/>
          <w:iCs/>
          <w:sz w:val="16"/>
          <w:szCs w:val="16"/>
        </w:rPr>
        <w:t>3</w:t>
      </w:r>
      <w:r w:rsidRPr="00231B33">
        <w:rPr>
          <w:rFonts w:ascii="Georgia" w:hAnsi="Georgia"/>
          <w:sz w:val="16"/>
          <w:szCs w:val="16"/>
        </w:rPr>
        <w:t>(1). doi:10.2196/diabetes.9591</w:t>
      </w:r>
    </w:p>
    <w:p w14:paraId="47F53CD3" w14:textId="5901EB3B" w:rsidR="00AD0CFC" w:rsidRPr="00231B33" w:rsidRDefault="00AD0CFC" w:rsidP="00AD0CFC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>Gulpers, B., et al. (2016). Anxiety as a Predictor for Cognitive Decline and Dementia: A Systematic Review and Meta-Analysis. </w:t>
      </w:r>
      <w:r w:rsidRPr="00231B33">
        <w:rPr>
          <w:rFonts w:ascii="Georgia" w:hAnsi="Georgia"/>
          <w:i/>
          <w:iCs/>
          <w:sz w:val="16"/>
          <w:szCs w:val="16"/>
        </w:rPr>
        <w:t>The American Journal of Geriatric Psychiatry,</w:t>
      </w:r>
      <w:r w:rsidRPr="00231B33">
        <w:rPr>
          <w:rFonts w:ascii="Georgia" w:hAnsi="Georgia"/>
          <w:sz w:val="16"/>
          <w:szCs w:val="16"/>
        </w:rPr>
        <w:t> </w:t>
      </w:r>
      <w:r w:rsidRPr="00231B33">
        <w:rPr>
          <w:rFonts w:ascii="Georgia" w:hAnsi="Georgia"/>
          <w:i/>
          <w:iCs/>
          <w:sz w:val="16"/>
          <w:szCs w:val="16"/>
        </w:rPr>
        <w:t>24</w:t>
      </w:r>
      <w:r w:rsidRPr="00231B33">
        <w:rPr>
          <w:rFonts w:ascii="Georgia" w:hAnsi="Georgia"/>
          <w:sz w:val="16"/>
          <w:szCs w:val="16"/>
        </w:rPr>
        <w:t>(10), 823-842. doi:10.1016/j.jagp.2016.05.015</w:t>
      </w:r>
    </w:p>
    <w:p w14:paraId="7FFC3B16" w14:textId="19EC9BE3" w:rsidR="004A557A" w:rsidRPr="00231B33" w:rsidRDefault="004A557A" w:rsidP="004A557A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 xml:space="preserve">Rasmussen, K. L., </w:t>
      </w:r>
      <w:r w:rsidR="00237477" w:rsidRPr="00231B33">
        <w:rPr>
          <w:rFonts w:ascii="Georgia" w:hAnsi="Georgia"/>
          <w:sz w:val="16"/>
          <w:szCs w:val="16"/>
        </w:rPr>
        <w:t>et al.</w:t>
      </w:r>
      <w:r w:rsidR="00590B6F">
        <w:rPr>
          <w:rFonts w:ascii="Georgia" w:hAnsi="Georgia"/>
          <w:sz w:val="16"/>
          <w:szCs w:val="16"/>
        </w:rPr>
        <w:t xml:space="preserve"> (2018). Plasma Apolipoprotein E Levels and Risk of Dementia: A Mendelian Randomization Study of 106,562 I</w:t>
      </w:r>
      <w:r w:rsidRPr="00231B33">
        <w:rPr>
          <w:rFonts w:ascii="Georgia" w:hAnsi="Georgia"/>
          <w:sz w:val="16"/>
          <w:szCs w:val="16"/>
        </w:rPr>
        <w:t>ndividuals. </w:t>
      </w:r>
      <w:r w:rsidRPr="00231B33">
        <w:rPr>
          <w:rFonts w:ascii="Georgia" w:hAnsi="Georgia"/>
          <w:i/>
          <w:iCs/>
          <w:sz w:val="16"/>
          <w:szCs w:val="16"/>
        </w:rPr>
        <w:t>Alzheimers &amp; Dementia,</w:t>
      </w:r>
      <w:r w:rsidRPr="00231B33">
        <w:rPr>
          <w:rFonts w:ascii="Georgia" w:hAnsi="Georgia"/>
          <w:sz w:val="16"/>
          <w:szCs w:val="16"/>
        </w:rPr>
        <w:t> </w:t>
      </w:r>
      <w:r w:rsidRPr="00231B33">
        <w:rPr>
          <w:rFonts w:ascii="Georgia" w:hAnsi="Georgia"/>
          <w:i/>
          <w:iCs/>
          <w:sz w:val="16"/>
          <w:szCs w:val="16"/>
        </w:rPr>
        <w:t>14</w:t>
      </w:r>
      <w:r w:rsidRPr="00231B33">
        <w:rPr>
          <w:rFonts w:ascii="Georgia" w:hAnsi="Georgia"/>
          <w:sz w:val="16"/>
          <w:szCs w:val="16"/>
        </w:rPr>
        <w:t>(1), 71-80. doi:10.1016/j.jalz.2017.05.006</w:t>
      </w:r>
    </w:p>
    <w:p w14:paraId="34D16274" w14:textId="27C6F49A" w:rsidR="0019517F" w:rsidRPr="00231B33" w:rsidRDefault="00856EE3" w:rsidP="00237477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>Bellou, V., et al</w:t>
      </w:r>
      <w:r w:rsidR="00590B6F">
        <w:rPr>
          <w:rFonts w:ascii="Georgia" w:hAnsi="Georgia"/>
          <w:sz w:val="16"/>
          <w:szCs w:val="16"/>
        </w:rPr>
        <w:t>. (2017). Systematic Evaluation of the Associations Between Environmental Risk Factors and Dementia: An Umbrella Review of Systematic Reviews and M</w:t>
      </w:r>
      <w:r w:rsidRPr="00231B33">
        <w:rPr>
          <w:rFonts w:ascii="Georgia" w:hAnsi="Georgia"/>
          <w:sz w:val="16"/>
          <w:szCs w:val="16"/>
        </w:rPr>
        <w:t>eta-analyses. </w:t>
      </w:r>
      <w:r w:rsidRPr="00231B33">
        <w:rPr>
          <w:rFonts w:ascii="Georgia" w:hAnsi="Georgia"/>
          <w:i/>
          <w:iCs/>
          <w:sz w:val="16"/>
          <w:szCs w:val="16"/>
        </w:rPr>
        <w:t>Alzheimers &amp; Dementia,</w:t>
      </w:r>
      <w:r w:rsidRPr="00231B33">
        <w:rPr>
          <w:rFonts w:ascii="Georgia" w:hAnsi="Georgia"/>
          <w:sz w:val="16"/>
          <w:szCs w:val="16"/>
        </w:rPr>
        <w:t> </w:t>
      </w:r>
      <w:r w:rsidRPr="00231B33">
        <w:rPr>
          <w:rFonts w:ascii="Georgia" w:hAnsi="Georgia"/>
          <w:i/>
          <w:iCs/>
          <w:sz w:val="16"/>
          <w:szCs w:val="16"/>
        </w:rPr>
        <w:t>13</w:t>
      </w:r>
      <w:r w:rsidRPr="00231B33">
        <w:rPr>
          <w:rFonts w:ascii="Georgia" w:hAnsi="Georgia"/>
          <w:sz w:val="16"/>
          <w:szCs w:val="16"/>
        </w:rPr>
        <w:t>(4), 406-418. doi:10.1016/j.jalz.2016.07.152</w:t>
      </w:r>
    </w:p>
    <w:p w14:paraId="68DB32B5" w14:textId="0EFFE0F5" w:rsidR="00363F53" w:rsidRPr="00231B33" w:rsidRDefault="00C8638F" w:rsidP="00363F53">
      <w:pPr>
        <w:pStyle w:val="ListParagraph"/>
        <w:numPr>
          <w:ilvl w:val="0"/>
          <w:numId w:val="1"/>
        </w:numPr>
        <w:rPr>
          <w:rFonts w:ascii="Georgia" w:hAnsi="Georgia"/>
          <w:sz w:val="16"/>
          <w:szCs w:val="16"/>
        </w:rPr>
      </w:pPr>
      <w:r w:rsidRPr="00231B33">
        <w:rPr>
          <w:rFonts w:ascii="Georgia" w:hAnsi="Georgia"/>
          <w:sz w:val="16"/>
          <w:szCs w:val="16"/>
        </w:rPr>
        <w:t>Carrion, C., et al. (2013). Cognitive Psychosocial Intervention in Dementia: A Systematic Review. </w:t>
      </w:r>
      <w:r w:rsidRPr="00231B33">
        <w:rPr>
          <w:rFonts w:ascii="Georgia" w:hAnsi="Georgia"/>
          <w:i/>
          <w:iCs/>
          <w:sz w:val="16"/>
          <w:szCs w:val="16"/>
        </w:rPr>
        <w:t>Dementia and Geriatric Cognitive Disorders,36</w:t>
      </w:r>
      <w:r w:rsidRPr="00231B33">
        <w:rPr>
          <w:rFonts w:ascii="Georgia" w:hAnsi="Georgia"/>
          <w:sz w:val="16"/>
          <w:szCs w:val="16"/>
        </w:rPr>
        <w:t>(5-6), 363-375. doi:10.1159/000354365</w:t>
      </w:r>
    </w:p>
    <w:sectPr w:rsidR="00363F53" w:rsidRPr="00231B33" w:rsidSect="004E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5C0"/>
    <w:multiLevelType w:val="hybridMultilevel"/>
    <w:tmpl w:val="389A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8D"/>
    <w:rsid w:val="00046DFB"/>
    <w:rsid w:val="000618B7"/>
    <w:rsid w:val="00084DE6"/>
    <w:rsid w:val="000A0303"/>
    <w:rsid w:val="000A16E5"/>
    <w:rsid w:val="0014743D"/>
    <w:rsid w:val="001819A6"/>
    <w:rsid w:val="0019517F"/>
    <w:rsid w:val="001E4893"/>
    <w:rsid w:val="0020680B"/>
    <w:rsid w:val="00231B33"/>
    <w:rsid w:val="00237477"/>
    <w:rsid w:val="00363E4D"/>
    <w:rsid w:val="00363F53"/>
    <w:rsid w:val="00384455"/>
    <w:rsid w:val="00397EF1"/>
    <w:rsid w:val="004A267E"/>
    <w:rsid w:val="004A557A"/>
    <w:rsid w:val="004D56E5"/>
    <w:rsid w:val="004E2B1A"/>
    <w:rsid w:val="00506900"/>
    <w:rsid w:val="00580666"/>
    <w:rsid w:val="00590B6F"/>
    <w:rsid w:val="006642C1"/>
    <w:rsid w:val="006D44A8"/>
    <w:rsid w:val="006F533F"/>
    <w:rsid w:val="0075109C"/>
    <w:rsid w:val="0078041C"/>
    <w:rsid w:val="00802DAE"/>
    <w:rsid w:val="008373F8"/>
    <w:rsid w:val="00856EE3"/>
    <w:rsid w:val="008E6518"/>
    <w:rsid w:val="009313C0"/>
    <w:rsid w:val="009817F4"/>
    <w:rsid w:val="009F3C75"/>
    <w:rsid w:val="00A42EC2"/>
    <w:rsid w:val="00A4650F"/>
    <w:rsid w:val="00AD0CFC"/>
    <w:rsid w:val="00B26699"/>
    <w:rsid w:val="00B42F9F"/>
    <w:rsid w:val="00B86527"/>
    <w:rsid w:val="00BA59D4"/>
    <w:rsid w:val="00C56FE2"/>
    <w:rsid w:val="00C8638F"/>
    <w:rsid w:val="00CC7115"/>
    <w:rsid w:val="00CE0953"/>
    <w:rsid w:val="00D72789"/>
    <w:rsid w:val="00D8278B"/>
    <w:rsid w:val="00DA042C"/>
    <w:rsid w:val="00DB4B51"/>
    <w:rsid w:val="00E03BD3"/>
    <w:rsid w:val="00E2792C"/>
    <w:rsid w:val="00E866E7"/>
    <w:rsid w:val="00EB3D94"/>
    <w:rsid w:val="00ED7389"/>
    <w:rsid w:val="00EE1381"/>
    <w:rsid w:val="00EE1CBF"/>
    <w:rsid w:val="00F0468D"/>
    <w:rsid w:val="00F66AE6"/>
    <w:rsid w:val="00FD14AF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CC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8D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046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68D"/>
    <w:rPr>
      <w:rFonts w:ascii="Times New Roman" w:hAnsi="Times New Roman" w:cs="Times New Roman"/>
      <w:b/>
      <w:bCs/>
      <w:sz w:val="36"/>
      <w:szCs w:val="36"/>
    </w:rPr>
  </w:style>
  <w:style w:type="character" w:customStyle="1" w:styleId="font-size-m">
    <w:name w:val="font-size-m"/>
    <w:basedOn w:val="DefaultParagraphFont"/>
    <w:rsid w:val="00F0468D"/>
  </w:style>
  <w:style w:type="character" w:styleId="Strong">
    <w:name w:val="Strong"/>
    <w:basedOn w:val="DefaultParagraphFont"/>
    <w:uiPriority w:val="22"/>
    <w:qFormat/>
    <w:rsid w:val="00F0468D"/>
    <w:rPr>
      <w:b/>
      <w:bCs/>
    </w:rPr>
  </w:style>
  <w:style w:type="character" w:styleId="Emphasis">
    <w:name w:val="Emphasis"/>
    <w:basedOn w:val="DefaultParagraphFont"/>
    <w:uiPriority w:val="20"/>
    <w:qFormat/>
    <w:rsid w:val="0019517F"/>
    <w:rPr>
      <w:i/>
      <w:iCs/>
    </w:rPr>
  </w:style>
  <w:style w:type="paragraph" w:styleId="ListParagraph">
    <w:name w:val="List Paragraph"/>
    <w:basedOn w:val="Normal"/>
    <w:uiPriority w:val="34"/>
    <w:qFormat/>
    <w:rsid w:val="00195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145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0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823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874</Words>
  <Characters>5143</Characters>
  <Application>Microsoft Macintosh Word</Application>
  <DocSecurity>0</DocSecurity>
  <Lines>107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Griffin</dc:creator>
  <cp:keywords/>
  <dc:description/>
  <cp:lastModifiedBy>Lance Griffin</cp:lastModifiedBy>
  <cp:revision>38</cp:revision>
  <dcterms:created xsi:type="dcterms:W3CDTF">2019-03-31T15:20:00Z</dcterms:created>
  <dcterms:modified xsi:type="dcterms:W3CDTF">2019-03-31T20:42:00Z</dcterms:modified>
</cp:coreProperties>
</file>